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Reorganization as sanitary districts</w:t>
      </w:r>
    </w:p>
    <w:p>
      <w:pPr>
        <w:jc w:val="both"/>
        <w:spacing w:before="100" w:after="100"/>
        <w:ind w:start="360"/>
        <w:ind w:firstLine="360"/>
      </w:pPr>
      <w:r>
        <w:rPr/>
      </w:r>
      <w:r>
        <w:rPr/>
      </w:r>
      <w:r>
        <w:t xml:space="preserve">A sewer district existing on January 1, 2013 may, but is not required to, reorganize as a sanitary district under the Maine Sanitary District Enabling Act by referendum in accordance with </w:t>
      </w:r>
      <w:r>
        <w:t>section 1101, subsection 1‑A</w:t>
      </w:r>
      <w:r>
        <w:t xml:space="preserve">.  The referendum may be initiated by the voters or by a majority of the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§1038. Reorganization as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Reorganization as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§1038. REORGANIZATION AS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