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Conditions for carrying out work</w:t>
      </w:r>
    </w:p>
    <w:p>
      <w:pPr>
        <w:jc w:val="both"/>
        <w:spacing w:before="100" w:after="100"/>
        <w:ind w:start="360"/>
        <w:ind w:firstLine="360"/>
      </w:pPr>
      <w:r>
        <w:rPr/>
      </w:r>
      <w:r>
        <w:rPr/>
      </w:r>
      <w:r>
        <w:t xml:space="preserve">When any sanitary district formed under this chapter shall enter, dig up or excavate any public way or other land for the purpose of laying its sewers, drains or pipes, constructing manholes or catch basins or their appurtenances, or maintaining the same, or for any other purpose, the work shall be done expeditiously, and on completion of the work the district shall restore said way or land to the condition it was in prior to such work, or to a condition equally as good. Whenever the character of the work is such as to endanger travel on any public way, the municipal officers of the municipality in which the work is being done, or, if such work is being done in unorganized territory, the commissioners of the county wherein such unorganized territory is located, may order a temporary closing of such way, and of any intersecting way, upon request of said district, and the way shall remain closed to public travel until such municipal officers or county commissioners, as the case may be, deem it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1967, c. 524,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§1158. Conditions for carrying out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Conditions for carrying out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§1158. CONDITIONS FOR CARRYING OUT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