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Investments</w:t>
      </w:r>
    </w:p>
    <w:p>
      <w:pPr>
        <w:jc w:val="both"/>
        <w:spacing w:before="100" w:after="100"/>
        <w:ind w:start="360"/>
        <w:ind w:firstLine="360"/>
      </w:pPr>
      <w:r>
        <w:rPr/>
      </w:r>
      <w:r>
        <w:rPr/>
      </w:r>
      <w:r>
        <w:t xml:space="preserve">A sanitary district may invest its funds, including sinking funds, reserve funds and trust funds in accordance with this section.  This section is in addition to, and not in limitation of, any power of a sanitary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§6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sanitary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sanitary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sanitary district’s investment and either the sanitary district’s security entitlement with respect to the underlying obligation is created pursuant to the provisions of </w:t>
      </w:r>
      <w:r>
        <w:t>Title 11, Article 8‑A</w:t>
      </w:r>
      <w:r>
        <w:t xml:space="preserve"> and other applicable law or the sanitary district’s security interest is perfected pursuant to </w:t>
      </w:r>
      <w:r>
        <w:t>Title 11, Article 9‑A</w:t>
      </w:r>
      <w:r>
        <w:t xml:space="preserve"> and other applicable law, except that, if the term of the repurchase agreement is not in excess of 96 hours, the sanitary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sanitary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Investments made pursuant to this subsection are limited to direct obligations of the issuer in which the sanitary district directly owns the underlying security. Obligations created from, or whose value depends on or is derived from, the value of one or more underlying assets or indexes of asset values in which the sanitary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Sanitary districts may acquire and hold securities not authorized by law but that have been acquired in settlements, reorganizations, recapitalizations, mergers or consolidations or by receipt of stock dividends or the exercise of rights applicable to securities held by sanitary districts and may continue to hold these securities at the discretion of the trustees. Sanitary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This standard must be applied to the overall investment portfolio of the sanitary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§7 (NEW). PL 2017, c. 151,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