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Competitive bidding</w:t>
      </w:r>
    </w:p>
    <w:p>
      <w:pPr>
        <w:jc w:val="both"/>
        <w:spacing w:before="100" w:after="100"/>
        <w:ind w:start="360"/>
        <w:ind w:firstLine="360"/>
      </w:pPr>
      <w:r>
        <w:rPr/>
      </w:r>
      <w:r>
        <w:rPr/>
      </w:r>
      <w:r>
        <w:t xml:space="preserve">Any contract in excess of $2,000 between a sanitary district, whether formed under this chapter or by private and special Act of the Legislature, and a contractor for the construction of facilities located on private property for the exclusive use of a private individual and for which the private individual is required to pay the total cost directly to the sanitary district, shall be awarded by a system of competitive bidding. Unless there are valid reasons to the contrary, the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1973,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 Competitive bidding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Competitive bidding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§1210. COMPETITIVE BIDDING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