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when the states have established licensing and certification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§1276. Reciprocity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Reciprocity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§1276. RECIPROCITY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