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Interim procedures</w:t>
      </w:r>
    </w:p>
    <w:p>
      <w:pPr>
        <w:jc w:val="both"/>
        <w:spacing w:before="100" w:after="100"/>
        <w:ind w:start="360"/>
        <w:ind w:firstLine="360"/>
      </w:pPr>
      <w:r>
        <w:rPr/>
      </w:r>
      <w:r>
        <w:rPr/>
      </w:r>
      <w:r>
        <w:t xml:space="preserve">In developing a program to implement this chapter, the commissioner shall provide for interim licensing and certification procedures to ensure a transition period of not less than 180 days before the application of the requirements established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§1283. INTERIM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