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w:t>
        <w:t xml:space="preserve">.  </w:t>
      </w:r>
      <w:r>
        <w:rPr>
          <w:b/>
        </w:rPr>
        <w:t xml:space="preserve">Rules</w:t>
      </w:r>
    </w:p>
    <w:p>
      <w:pPr>
        <w:jc w:val="both"/>
        <w:spacing w:before="100" w:after="100"/>
        <w:ind w:start="360"/>
        <w:ind w:firstLine="360"/>
      </w:pPr>
      <w:r>
        <w:rPr/>
      </w:r>
      <w:r>
        <w:rPr/>
      </w:r>
      <w:r>
        <w:t xml:space="preserve">The department shall adopt and amend rules to carry out the purposes of this chapter and to ensure that state law relating to lead-based paint activities satisfies minimum requirements of federal law in all respects.  In adopting the rules, the department shall consult the regulations of the United States Department of Labor, Occupational Safety and Health Administration to ensure that the rules minimize duplicative requirements.  The rules are routine, technical rules in accordance with </w:t>
      </w:r>
      <w:r>
        <w:t>Title 5, chapter 375, subchapter II‑A</w:t>
      </w:r>
      <w:r>
        <w:t xml:space="preserve"> and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0"/>
        <w:ind w:start="360"/>
        <w:ind w:firstLine="360"/>
      </w:pPr>
      <w:r>
        <w:rPr>
          <w:b/>
        </w:rPr>
        <w:t>1</w:t>
        <w:t xml:space="preserve">.  </w:t>
      </w:r>
      <w:r>
        <w:rPr>
          <w:b/>
        </w:rPr>
        <w:t xml:space="preserve">Licenses and certification.</w:t>
        <w:t xml:space="preserve"> </w:t>
      </w:r>
      <w:r>
        <w:t xml:space="preserve"> </w:t>
      </w:r>
      <w:r>
        <w:t xml:space="preserve">Licensing lead abatement contractors and in-house lead abatement units, and certification of lead abatement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2</w:t>
        <w:t xml:space="preserve">.  </w:t>
      </w:r>
      <w:r>
        <w:rPr>
          <w:b/>
        </w:rPr>
        <w:t xml:space="preserve">Training programs.</w:t>
        <w:t xml:space="preserve"> </w:t>
      </w:r>
      <w:r>
        <w:t xml:space="preserve"> </w:t>
      </w:r>
      <w:r>
        <w:t xml:space="preserve">Accreditation of training providers offering courses for lead abatement professionals and in lead awareness for homeowners and for contractors involved in renovation, remodeling and painting;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3</w:t>
        <w:t xml:space="preserve">.  </w:t>
      </w:r>
      <w:r>
        <w:rPr>
          <w:b/>
        </w:rPr>
        <w:t xml:space="preserve">Standards of acceptable work practices.</w:t>
        <w:t xml:space="preserve"> </w:t>
      </w:r>
      <w:r>
        <w:t xml:space="preserve"> </w:t>
      </w:r>
      <w:r>
        <w:t xml:space="preserve">Criteria and procedures of acceptable work practices for licensees and certificate holders and for persons exempt from licensing and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4</w:t>
        <w:t xml:space="preserve">.  </w:t>
      </w:r>
      <w:r>
        <w:rPr>
          <w:b/>
        </w:rPr>
        <w:t xml:space="preserve">Standards of conduct.</w:t>
        <w:t xml:space="preserve"> </w:t>
      </w:r>
      <w:r>
        <w:t xml:space="preserve"> </w:t>
      </w:r>
      <w:r>
        <w:t xml:space="preserve">Standards of acceptable professional conduct for licensees and certificate holders engaged in lead-based paint activities, as well as specific acts and omissions that constitute grounds for the reprimand of any licensee or certificate holder, the suspension or revocation of a license or certificate or the denial of the renewal of a license or certificate;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w:pPr>
        <w:jc w:val="both"/>
        <w:spacing w:before="100" w:after="0"/>
        <w:ind w:start="360"/>
        <w:ind w:firstLine="360"/>
      </w:pPr>
      <w:r>
        <w:rPr>
          <w:b/>
        </w:rPr>
        <w:t>5</w:t>
        <w:t xml:space="preserve">.  </w:t>
      </w:r>
      <w:r>
        <w:rPr>
          <w:b/>
        </w:rPr>
        <w:t xml:space="preserve">Fees.</w:t>
        <w:t xml:space="preserve"> </w:t>
      </w:r>
      <w:r>
        <w:t xml:space="preserve"> </w:t>
      </w:r>
      <w:r>
        <w:t xml:space="preserve">Establishing fees for notifications and annual fees for each license and certification category.  The fees must be deposited in the Maine Environmental Protection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