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1319-D</w:t>
        <w:t xml:space="preserve">.  </w:t>
      </w:r>
      <w:r>
        <w:rPr>
          <w:b/>
        </w:rPr>
        <w:t xml:space="preserve">Maine Hazardous Waste Fund</w:t>
      </w:r>
    </w:p>
    <w:p>
      <w:pPr>
        <w:jc w:val="both"/>
        <w:spacing w:before="100" w:after="100"/>
        <w:ind w:start="360"/>
        <w:ind w:firstLine="360"/>
      </w:pPr>
      <w:r>
        <w:rPr/>
      </w:r>
      <w:r>
        <w:rPr/>
      </w:r>
      <w:r>
        <w:t xml:space="preserve">The Maine Hazardous Waste Fund is established to be used by the department as a nonlapsing, revolving fund for carrying out the department's responsibilities under this subchapter and </w:t>
      </w:r>
      <w:r>
        <w:t>subchapter III</w:t>
      </w:r>
      <w:r>
        <w:t xml:space="preserve">. All fees, penalties, interest and other charges under this subchapter must be credited to this fund. This fund must be charged with the expenses of the department related to this subchapter and </w:t>
      </w:r>
      <w:r>
        <w:t>subchapter III</w:t>
      </w:r>
      <w:r>
        <w:t xml:space="preserve">, including costs of removal or abatement of discharges and costs of the inspection or supervision of hazardous waste activities and hazardous waste handlers.</w:t>
      </w:r>
      <w:r>
        <w:t xml:space="preserve">  </w:t>
      </w:r>
      <w:r xmlns:wp="http://schemas.openxmlformats.org/drawingml/2010/wordprocessingDrawing" xmlns:w15="http://schemas.microsoft.com/office/word/2012/wordml">
        <w:rPr>
          <w:rFonts w:ascii="Arial" w:hAnsi="Arial" w:cs="Arial"/>
          <w:sz w:val="22"/>
          <w:szCs w:val="22"/>
        </w:rPr>
        <w:t xml:space="preserve">[PL 2001, c. 212, §6 (AMD).]</w:t>
      </w:r>
    </w:p>
    <w:p>
      <w:pPr>
        <w:jc w:val="both"/>
        <w:spacing w:before="100" w:after="100"/>
        <w:ind w:start="360"/>
        <w:ind w:firstLine="360"/>
      </w:pPr>
      <w:r>
        <w:rPr/>
      </w:r>
      <w:r>
        <w:rPr/>
      </w:r>
      <w:r>
        <w:t xml:space="preserve">Money in the fund not currently needed to meet the obligations of the department in the exercise of its responsibilities for hazardous waste management shall be deposited with the Treasurer of State to the credit of the fund and may be invested as provided by statute. Interest received on that investment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commissioner shall submit budget recommendations for disbursements from the fund in accordance with </w:t>
      </w:r>
      <w:r>
        <w:t>section 1319‑E, subsection 1, paragraphs C</w:t>
      </w:r>
      <w:r>
        <w:t xml:space="preserve"> and </w:t>
      </w:r>
      <w:r>
        <w:t>E</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1319‑E, subsection 1, paragraphs A</w:t>
      </w:r>
      <w:r>
        <w:t xml:space="preserve"> and </w:t>
      </w:r>
      <w:r>
        <w:t>D</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424,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§11 (AMD). PL 1987, c. 750, §4 (AMD). PL 1989, c. 546, §14 (AMD). PL 1989, c. 890, §§A40,B256 (AMD). PL 1997, c. 424, §B10 (AMD). PL 2001, c. 212,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§1319-D. Maine Hazardous Waste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§1319-D. Maine Hazardous Waste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§1319-D. MAINE HAZARDOUS WASTE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