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1319-P</w:t>
        <w:t xml:space="preserve">.  </w:t>
      </w:r>
      <w:r>
        <w:rPr>
          <w:b/>
        </w:rPr>
        <w:t xml:space="preserve">Municipal hazardous waste control</w:t>
      </w:r>
    </w:p>
    <w:p>
      <w:pPr>
        <w:jc w:val="both"/>
        <w:spacing w:before="100" w:after="100"/>
        <w:ind w:start="360"/>
      </w:pPr>
      <w:r>
        <w:rPr>
          <w:b/>
        </w:rPr>
        <w:t>(REALLOCATED FROM TITLE 38, SECTION  1310-A)</w:t>
      </w:r>
    </w:p>
    <w:p>
      <w:pPr>
        <w:jc w:val="both"/>
        <w:spacing w:before="100" w:after="100"/>
        <w:ind w:start="360"/>
        <w:ind w:firstLine="360"/>
      </w:pPr>
      <w:r>
        <w:rPr/>
      </w:r>
      <w:r>
        <w:rPr/>
      </w:r>
      <w:r>
        <w:t xml:space="preserve">Nothing in this chapter shall be construed as a preemption of the field of hazardous waste regulation and study on the part of the State. Municipalities may study hazardous waste and adopt and enforce hazardous waste control and abatement ordinances, to the extent that these ordinances are not less stringent than this chapter or than any standard under, or other action promulgated pursuant to, this chapter. Local ordinance provisions which touch on matters not dealt with by the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§1319-P. Municipal hazardous waste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§1319-P. Municipal hazardous waste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§1319-P. MUNICIPAL HAZARDOUS WASTE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