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§1464. SITE CHARACTERIZATION AND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