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Other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§1466. OTHER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