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Reporting</w:t>
      </w:r>
    </w:p>
    <w:p>
      <w:pPr>
        <w:jc w:val="both"/>
        <w:spacing w:before="100" w:after="100"/>
        <w:ind w:start="360"/>
        <w:ind w:firstLine="360"/>
      </w:pPr>
      <w:r>
        <w:rPr/>
      </w:r>
      <w:r>
        <w:rPr/>
      </w:r>
      <w:r>
        <w:t xml:space="preserve">Each low-level radioactive waste generator shall annually report, by March 31st, the volume, radioactivity and other physical and chemical characteristics of low-level waste generated and of low-level waste shipped to commercial disposal facilities, and the volume, radioactivity and other pertinent characteristics of low-level radioactive waste stored on-site. This report shall be submitted to the commissioner and to the Commissioner of Health and Human Services, and shall include information on the specific radioactive materials handled.</w:t>
      </w:r>
      <w:r>
        <w:t xml:space="preserve">  </w:t>
      </w:r>
      <w:r xmlns:wp="http://schemas.openxmlformats.org/drawingml/2010/wordprocessingDrawing" xmlns:w15="http://schemas.microsoft.com/office/word/2012/wordml">
        <w:rPr>
          <w:rFonts w:ascii="Arial" w:hAnsi="Arial" w:cs="Arial"/>
          <w:sz w:val="22"/>
          <w:szCs w:val="22"/>
        </w:rPr>
        <w:t xml:space="preserve">[PL 1985, c. 705, §2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§2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