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Interstate clearinghouse</w:t>
      </w:r>
    </w:p>
    <w:p>
      <w:pPr>
        <w:jc w:val="both"/>
        <w:spacing w:before="100" w:after="100"/>
        <w:ind w:start="360"/>
        <w:ind w:firstLine="360"/>
      </w:pPr>
      <w:r>
        <w:rPr/>
      </w:r>
      <w:r>
        <w:rPr/>
      </w:r>
      <w:r>
        <w:t xml:space="preserve">The department may participate in the establishment and implementation of a regional, multistate clearinghouse to assist in carrying out the requirements of this chapter and to help coordinate reviews of the manufacturer notifications under </w:t>
      </w:r>
      <w:r>
        <w:t>section 1661‑B</w:t>
      </w:r>
      <w:r>
        <w:t xml:space="preserve">, applications for alternative labeling under </w:t>
      </w:r>
      <w:r>
        <w:t>section 1662</w:t>
      </w:r>
      <w:r>
        <w:t xml:space="preserve">, education and outreach activities and any other activities related to the administration of this chapter.  Notwithstanding </w:t>
      </w:r>
      <w:r>
        <w:t>section 1310‑B, subsection 2</w:t>
      </w:r>
      <w:r>
        <w:t xml:space="preserve">, the department may provide the interstate clearinghouse with product information submitted to the department under </w:t>
      </w:r>
      <w:r>
        <w:t>section 1661‑A</w:t>
      </w:r>
      <w:r>
        <w:t xml:space="preserve"> and the department and the interstate clearinghouse may compile or publish analyses or summaries of such information provided the analyses or summaries do not identify any manufacturer or reveal any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2001, c. 373,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§1671. Interstate clearinghouse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Interstate clearinghouse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§1671. INTERSTATE CLEARINGHOUSE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