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the agency shall determine that there shall at all times be revenues and funds sufficient to:</w:t>
      </w:r>
    </w:p>
    <w:p>
      <w:pPr>
        <w:jc w:val="both"/>
        <w:spacing w:before="100" w:after="0"/>
        <w:ind w:start="720"/>
      </w:pPr>
      <w:r>
        <w:rPr/>
        <w:t>A</w:t>
        <w:t xml:space="preserve">.  </w:t>
      </w:r>
      <w:r>
        <w:rPr/>
      </w:r>
      <w:r>
        <w:t xml:space="preserve">Pay the principal and interest of the securities as they become due and payable and, in its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Pay the cost of maintaining and, where applicable, repairing the project unless provision is made in the financial document or other contract for maintenance and, where applicable, repair.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where applicable, repair, may be set aside at regular intervals as provided in the trust agreement or other document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Use of money deposited to the credit of the sinking fund shall be subject to regulations prescribed in the trust agreement or other document.  Except as may otherwise be provided in the trust agreement or other document,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 received under this subchapter shall be deemed trust funds, to be held and applied solely as provided in this subchapter.  Any officer to whom, or any bank, trust company or other fiscal agency or trustee to which, the money shall be paid shall act as trustees of the money and shall hold and apply it for the purposes of this subchapter, subject to the requirements of this subchapter, the trust agreement or other applicable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§2215. Rentals and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Rentals and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§2215. RENTALS AND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