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Technical assistance and recognition programs</w:t>
      </w:r>
    </w:p>
    <w:p>
      <w:pPr>
        <w:jc w:val="both"/>
        <w:spacing w:before="100" w:after="100"/>
        <w:ind w:start="360"/>
        <w:ind w:firstLine="360"/>
      </w:pPr>
      <w:r>
        <w:rPr/>
      </w:r>
      <w:r>
        <w:rPr/>
      </w:r>
      <w:r>
        <w:t xml:space="preserve">The department shall develop a technical assistance program for commercial and industrial facilities that use priority toxic chemicals and products and materials containing priority toxic chemicals.  The goal of a technical assistance program must be to reduce use of priority toxic chemicals by such facilities and to help these facilities achieve the reduction goals established in their environmental management systems or pollution prevention plans under </w:t>
      </w:r>
      <w:r>
        <w:t>section 2325</w:t>
      </w:r>
      <w:r>
        <w:t xml:space="preserve">.  The department shall determine the facilities most in need of technical assistance and shall establish priorities based on a number of factors, including, but not limited to, the availability of safer alternatives, the toxicity of the chemical used by particular facilities, the size and resources of those facilities and the resources available to the department.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r>
      <w:r>
        <w:rPr/>
      </w:r>
      <w:r>
        <w:t xml:space="preserve">The department may develop a recognition program to promote the reduction in use of priority toxic chemicals and to recognize commercial and industrial facilities in the State for their achievements in reducing their use of priority toxic chemicals.</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§2326. Technical assistance and recognition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Technical assistance and recognition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§2326. TECHNICAL ASSISTANCE AND RECOGNITION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