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3-A</w:t>
        <w:t xml:space="preserve">.  </w:t>
      </w:r>
      <w:r>
        <w:rPr>
          <w:b/>
        </w:rPr>
        <w:t xml:space="preserve">Mooring transfer permitted by ordinance</w:t>
      </w:r>
    </w:p>
    <w:p>
      <w:pPr>
        <w:jc w:val="both"/>
        <w:spacing w:before="100" w:after="100"/>
        <w:ind w:start="360"/>
        <w:ind w:firstLine="360"/>
      </w:pPr>
      <w:r>
        <w:rPr/>
      </w:r>
      <w:r>
        <w:rPr/>
      </w:r>
      <w:r>
        <w:t xml:space="preserve">A municipality may adopt an ordinance that allows the transfer of a mooring assignment used for commercial fishing purposes.  The ordinance may permit a mooring assignment to be transferred only at the request or death of the assignee, only to a member of the assignee's family and only if the mooring assignment will continue to be used for commercial fishing purposes.  For the purposes of this section, "member of the assignee's family" means an assignee's parent, child or sibling, by birth or by adoption, including a relation of the half blood, or an assignee's spouse.</w:t>
      </w:r>
      <w:r>
        <w:t xml:space="preserve">  </w:t>
      </w:r>
      <w:r xmlns:wp="http://schemas.openxmlformats.org/drawingml/2010/wordprocessingDrawing" xmlns:w15="http://schemas.microsoft.com/office/word/2012/wordml">
        <w:rPr>
          <w:rFonts w:ascii="Arial" w:hAnsi="Arial" w:cs="Arial"/>
          <w:sz w:val="22"/>
          <w:szCs w:val="22"/>
        </w:rPr>
        <w:t xml:space="preserve">[PL 1993,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§140 (COR). PL 1991, c. 685, §2 (NEW). PL 1993,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§3-A. Mooring transfer permitted by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§3-A. Mooring transfer permitted by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§3-A. MOORING TRANSFER PERMITTED BY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