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Notice</w:t>
      </w:r>
    </w:p>
    <w:p>
      <w:pPr>
        <w:jc w:val="both"/>
        <w:spacing w:before="100" w:after="100"/>
        <w:ind w:start="360"/>
        <w:ind w:firstLine="360"/>
      </w:pPr>
      <w:r>
        <w:rPr>
          <w:b/>
        </w:rPr>
        <w:t>1</w:t>
        <w:t xml:space="preserve">.  </w:t>
      </w:r>
      <w:r>
        <w:rPr>
          <w:b/>
        </w:rPr>
        <w:t xml:space="preserve">Provision of copy.</w:t>
        <w:t xml:space="preserve"> </w:t>
      </w:r>
      <w:r>
        <w:t xml:space="preserve"> </w:t>
      </w:r>
      <w:r>
        <w:t xml:space="preserve">A copy of an environmental covenant must be provided by the persons and in the manner required by the agency to:</w:t>
      </w:r>
    </w:p>
    <w:p>
      <w:pPr>
        <w:jc w:val="both"/>
        <w:spacing w:before="100" w:after="0"/>
        <w:ind w:start="720"/>
      </w:pPr>
      <w:r>
        <w:rPr/>
        <w:t>A</w:t>
        <w:t xml:space="preserve">.  </w:t>
      </w:r>
      <w:r>
        <w:rPr/>
      </w:r>
      <w:r>
        <w:t xml:space="preserve">Each person who signed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Each person holding a recorded interest in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Each person in possession of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Each municipality or other unit of local government in which real property subject to the covenant is located;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Any other person the agency requires.</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Effect of failure to provide copy.</w:t>
        <w:t xml:space="preserve"> </w:t>
      </w:r>
      <w:r>
        <w:t xml:space="preserve"> </w:t>
      </w:r>
      <w:r>
        <w:t xml:space="preserve">The validity of a covenant is not affected by failure to provide a copy of the covenant as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§3007.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§3007.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