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Reporting requirements</w:t>
      </w:r>
    </w:p>
    <w:p>
      <w:pPr>
        <w:jc w:val="both"/>
        <w:spacing w:before="100" w:after="100"/>
        <w:ind w:start="360"/>
        <w:ind w:firstLine="360"/>
      </w:pPr>
      <w:r>
        <w:rPr/>
      </w:r>
      <w:r>
        <w:rPr/>
      </w:r>
      <w:r>
        <w:t xml:space="preserve">This section establishes annual reporting requirements for initiators of deposit and for pick-up agents that are not initiators of deposit.</w:t>
      </w:r>
      <w:r>
        <w:t xml:space="preserve">  </w:t>
      </w:r>
      <w:r xmlns:wp="http://schemas.openxmlformats.org/drawingml/2010/wordprocessingDrawing" xmlns:w15="http://schemas.microsoft.com/office/word/2012/wordml">
        <w:rPr>
          <w:rFonts w:ascii="Arial" w:hAnsi="Arial" w:cs="Arial"/>
          <w:sz w:val="22"/>
          <w:szCs w:val="22"/>
        </w:rPr>
        <w:t xml:space="preserve">[PL 2019, c. 526, §14 (NEW).]</w:t>
      </w:r>
    </w:p>
    <w:p>
      <w:pPr>
        <w:jc w:val="both"/>
        <w:spacing w:before="100" w:after="100"/>
        <w:ind w:start="360"/>
        <w:ind w:firstLine="360"/>
      </w:pPr>
      <w:r>
        <w:rPr>
          <w:b/>
        </w:rPr>
        <w:t>1</w:t>
        <w:t xml:space="preserve">.  </w:t>
      </w:r>
      <w:r>
        <w:rPr>
          <w:b/>
        </w:rPr>
        <w:t xml:space="preserve">Initiator of deposit annual report.</w:t>
        <w:t xml:space="preserve"> </w:t>
      </w:r>
      <w:r>
        <w:t xml:space="preserve"> </w:t>
      </w:r>
      <w:r>
        <w:t xml:space="preserve">Each initiator of deposit shall report annually by March 1st to the department concerning its deposit transactions in the preceding calendar year.  The report must be in a form prescribed by the department and must include the number of nonrefillable beverage containers sold by the initiator of deposit in the State by container size, by beverage type and by redemption value, delineated at a minimum into wine, spirits and all other beverage types, and must include the number of nonrefillable beverage containers returned to the initiator of deposit by beverage type and by redemption value.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100"/>
        <w:ind w:start="360"/>
        <w:ind w:firstLine="360"/>
      </w:pPr>
      <w:r>
        <w:rPr>
          <w:b/>
        </w:rPr>
        <w:t>2</w:t>
        <w:t xml:space="preserve">.  </w:t>
      </w:r>
      <w:r>
        <w:rPr>
          <w:b/>
        </w:rPr>
        <w:t xml:space="preserve">Pick-up agent annual report.</w:t>
        <w:t xml:space="preserve"> </w:t>
      </w:r>
      <w:r>
        <w:t xml:space="preserve"> </w:t>
      </w:r>
      <w:r>
        <w:t xml:space="preserve">Each pick-up agent that is not an initiator of deposit shall report annually by March 1st to the department concerning the redemptions for each initiator of deposit it served in the preceding calendar year.  The report must be in a form prescribed by the department and must include the number of nonrefillable containers returned by the pick-up agent to each initiator of deposit it served by redemption value, except that the pick-up agent may report by average weight and total weight of beverage containers returned by material type for containers managed pursuant to a qualified commingling agreement under </w:t>
      </w:r>
      <w:r>
        <w:t>section 3107</w:t>
      </w:r>
      <w:r>
        <w:t xml:space="preserv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Proprietary information submitted to the department prior to July 15, 2025 in a report required under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§14 (NEW). PL 2023, c. 482,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§3119.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§3119.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