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343-F</w:t>
        <w:t xml:space="preserve">.  </w:t>
      </w:r>
      <w:r>
        <w:rPr>
          <w:b/>
        </w:rPr>
        <w:t xml:space="preserve">Reporting and disclosure requirements</w:t>
      </w:r>
    </w:p>
    <w:p>
      <w:pPr>
        <w:jc w:val="both"/>
        <w:spacing w:before="100" w:after="100"/>
        <w:ind w:start="360"/>
        <w:ind w:firstLine="360"/>
      </w:pPr>
      <w:r>
        <w:rPr/>
      </w:r>
      <w:r>
        <w:rPr/>
      </w:r>
      <w:r>
        <w:t xml:space="preserve">An environmental professional who obtains analytical information indicating a discharge or release of a hazardous substance, hazardous waste, hazardous matter, special waste, pollutant or contaminant, including petroleum products or by-products at a site, at levels that, in that professional's best professional judgment, require removal or remedial action to prevent significant threats to public health or the environment shall advise that professional's client of that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If the client of the environmental professional is not the owner or operator of the site, the client shall disclose the analytical information to the owner or operator of the site.  Upon receipt of that information, the owner or operator shall submit this information to the commissioner within a reasonable time period unless the time period is otherwise prescribed by law.  This section does not affect  the legal protections afforded to confidential business information or other privileges, if any, that may be applicable.  If the client makes a disclosure and the owner or operator does not submit this information to the commissioner, the client and the environmental professional may not be held liable for the owner's or the operator's failure to disclose.</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a direct or indirect financial interest in the applicant, the permit holder or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PL 2007, c. 399,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§343-F. Reporting and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§343-F. Reporting and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§343-F. REPORTING AND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