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353-C</w:t>
        <w:t xml:space="preserve">.  </w:t>
      </w:r>
      <w:r>
        <w:rPr>
          <w:b/>
        </w:rPr>
        <w:t xml:space="preserve">Borrow pit and mining fees</w:t>
      </w:r>
    </w:p>
    <w:p>
      <w:pPr>
        <w:jc w:val="both"/>
        <w:spacing w:before="100" w:after="100"/>
        <w:ind w:start="360"/>
        <w:ind w:firstLine="360"/>
      </w:pPr>
      <w:r>
        <w:rPr/>
      </w:r>
      <w:r>
        <w:rPr/>
      </w:r>
      <w:r>
        <w:t xml:space="preserve">Fees received under </w:t>
      </w:r>
      <w:r>
        <w:t>chapter 3, subchapter 1, article 7</w:t>
      </w:r>
      <w:r>
        <w:t xml:space="preserve"> and </w:t>
      </w:r>
      <w:r>
        <w:t>article 8‑A</w:t>
      </w:r>
      <w:r>
        <w:t xml:space="preserve"> must be deposited in the Maine Environmental Protection Fund and are governed by the general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673,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§GG1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§353-C. Borrow pit and mining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§353-C. Borrow pit and mining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§353-C. BORROW PIT AND MINING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