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Election; qualifications; term; removal; vacancies; records</w:t>
      </w:r>
    </w:p>
    <w:p>
      <w:pPr>
        <w:jc w:val="both"/>
        <w:spacing w:before="100" w:after="100"/>
        <w:ind w:start="360"/>
        <w:ind w:firstLine="360"/>
      </w:pPr>
      <w:r>
        <w:rPr/>
      </w:r>
      <w:r>
        <w:rPr/>
      </w:r>
      <w:r>
        <w:t xml:space="preserve">Port wardens must be elected in any city or town situated on navigable waters upon the petition of 10 or more citizens engaged in commercial pursuits therein.</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If in such city or town there is a board of trade duly incorporated, that board shall annually elect the port warden. Otherwise the municipal officers thereof shall annually elect the port warden.</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Port wardens must have commercial or nautical experience and hold office one year from each election and until others are qualified in their stead, except when removed for cause or when elected to serve out an unexpired term. They must be sworn faithfully to perform their duties.</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Boards of trade, by their managers, or municipal officers shall forthwith on complaint of any person aggrieved, after hearing, remove for cause any port warden by them elected, and all vacancies must be filled by those authorities.</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Port wardens shall make a record of their doings and keep the same in their office for inspection at any time, free of charge, by any person interested therein.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 Election; qualifications; term; removal; vacancies;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Election; qualifications; term; removal; vacancies;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 ELECTION; QUALIFICATIONS; TERM; REMOVAL; VACANCIES;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