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410-H</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345 (NEW).]</w:t>
      </w:r>
    </w:p>
    <w:p>
      <w:pPr>
        <w:jc w:val="both"/>
        <w:spacing w:before="100" w:after="0"/>
        <w:ind w:start="360"/>
        <w:ind w:firstLine="360"/>
      </w:pPr>
      <w:r>
        <w:rPr>
          <w:b/>
        </w:rPr>
        <w:t>1</w:t>
        <w:t xml:space="preserve">.  </w:t>
      </w:r>
      <w:r>
        <w:rPr>
          <w:b/>
        </w:rPr>
        <w:t xml:space="preserve">Best management practice guidelines.</w:t>
        <w:t xml:space="preserve"> </w:t>
      </w:r>
      <w:r>
        <w:t xml:space="preserve"> </w:t>
      </w:r>
      <w:r>
        <w:t xml:space="preserve">"Best management practice guidelines" means recommended techniques or procedures or a combination of techniques or procedures that are determined by the appropriate agency identified in </w:t>
      </w:r>
      <w:r>
        <w:t>section 410‑J</w:t>
      </w:r>
      <w:r>
        <w:t xml:space="preserve"> to be the most effective practicable means of preventing or reducing pollution generated by nonpoint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w:t>
      </w:r>
    </w:p>
    <w:p>
      <w:pPr>
        <w:jc w:val="both"/>
        <w:spacing w:before="100" w:after="0"/>
        <w:ind w:start="360"/>
        <w:ind w:firstLine="360"/>
      </w:pPr>
      <w:r>
        <w:rPr>
          <w:b/>
        </w:rPr>
        <w:t>2</w:t>
        <w:t xml:space="preserve">.  </w:t>
      </w:r>
      <w:r>
        <w:rPr>
          <w:b/>
        </w:rPr>
        <w:t xml:space="preserve">Nonpoint source.</w:t>
        <w:t xml:space="preserve"> </w:t>
      </w:r>
      <w:r>
        <w:t xml:space="preserve"> </w:t>
      </w:r>
      <w:r>
        <w:t xml:space="preserve">"Nonpoint source" means any source, excluding any source defined as a direct discharge in </w:t>
      </w:r>
      <w:r>
        <w:t>section 466</w:t>
      </w:r>
      <w:r>
        <w:t xml:space="preserve">, that discharges pollutants into the surface or ground waters of the State, including, but not limited to, sources related to agriculture, construction and maintenance of bridges, railways and roads, forest management and commercial, industrial or residential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§410-H.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§410-H.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§410-H.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