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490-C</w:t>
        <w:t xml:space="preserve">.  </w:t>
      </w:r>
      <w:r>
        <w:rPr>
          <w:b/>
        </w:rPr>
        <w:t xml:space="preserve">Notice of intent to comply</w:t>
      </w:r>
    </w:p>
    <w:p>
      <w:pPr>
        <w:jc w:val="both"/>
        <w:spacing w:before="100" w:after="100"/>
        <w:ind w:start="360"/>
        <w:ind w:firstLine="360"/>
      </w:pPr>
      <w:r>
        <w:rPr/>
      </w:r>
      <w:r>
        <w:rPr/>
      </w:r>
      <w:r>
        <w:t xml:space="preserve">Except as provided in </w:t>
      </w:r>
      <w:r>
        <w:t>section 484‑A</w:t>
      </w:r>
      <w:r>
        <w:t xml:space="preserve">, a person intending to create or operate an excavation under this article must file a notice of intent to comply before the total area of excavation on the parcel equals 5 or more acres excavated since January 1, 1970.  Both reclaimed and unreclaimed areas are added together in determining whether this 5-acre threshold is met.  A notice filed under this section must be complete, submitted on forms approved by the department and mailed to the municipality, the department, the Maine Historic Preservation Commission and each abutting property owner.  The notice that is mailed to the municipality and each abutting property owner must be sent by certified mail at least 7 days prior to filing the notice of intent to comply with the regulator.  The notice that is mailed to the regulator must be sent by certified mail, return receipt requested.  Upon receiving the postal receipt, the owner or operator may commence operation.  The municipality where the proposed excavation is located may submit comments to the department if the proposed excavation may pose an unreasonable adverse impact under the standards in </w:t>
      </w:r>
      <w:r>
        <w:t>section 490‑D</w:t>
      </w:r>
      <w:r>
        <w:t xml:space="preserve">.  Within 30 days of receipt of the notice of intent to comply, the department must respond to the comments made by the municipality.  Abutting property owners, the Maine Historic Preservation Commission or other interested persons may submit comments directly to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297, §4 (AMD).]</w:t>
      </w:r>
    </w:p>
    <w:p>
      <w:pPr>
        <w:jc w:val="both"/>
        <w:spacing w:before="100" w:after="100"/>
        <w:ind w:start="360"/>
        <w:ind w:firstLine="360"/>
      </w:pPr>
      <w:r>
        <w:rPr/>
      </w:r>
      <w:r>
        <w:rPr/>
      </w:r>
      <w:r>
        <w:t xml:space="preserve">A notice of intent to comply is not complete unless it includes all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360"/>
        <w:ind w:firstLine="360"/>
      </w:pPr>
      <w:r>
        <w:rPr>
          <w:b/>
        </w:rPr>
        <w:t>1</w:t>
        <w:t xml:space="preserve">.  </w:t>
      </w:r>
      <w:r>
        <w:rPr>
          <w:b/>
        </w:rPr>
        <w:t xml:space="preserve">Name, address and telephone number.</w:t>
        <w:t xml:space="preserve"> </w:t>
      </w:r>
      <w:r>
        <w:t xml:space="preserve"> </w:t>
      </w:r>
      <w:r>
        <w:t xml:space="preserve">The name, mailing address and telephone number of the owner and, if different from the owner,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§23 (AMD).]</w:t>
      </w:r>
    </w:p>
    <w:p>
      <w:pPr>
        <w:jc w:val="both"/>
        <w:spacing w:before="100" w:after="0"/>
        <w:ind w:start="360"/>
        <w:ind w:firstLine="360"/>
      </w:pPr>
      <w:r>
        <w:rPr>
          <w:b/>
        </w:rPr>
        <w:t>2</w:t>
        <w:t xml:space="preserve">.  </w:t>
      </w:r>
      <w:r>
        <w:rPr>
          <w:b/>
        </w:rPr>
        <w:t xml:space="preserve">Map and site plan.</w:t>
        <w:t xml:space="preserve"> </w:t>
      </w:r>
      <w:r>
        <w:t xml:space="preserve"> </w:t>
      </w:r>
      <w:r>
        <w:t xml:space="preserve">A location map and site plan drawn to scale showing property boundaries, stockpile areas, existing reclaimed and unreclaimed lands, proposed maximum acreage of all affected lands, all applicable private drinking water supplies or public drinking water sources and all existing or proposed solid waste disposal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§23 (AMD).]</w:t>
      </w:r>
    </w:p>
    <w:p>
      <w:pPr>
        <w:jc w:val="both"/>
        <w:spacing w:before="100" w:after="0"/>
        <w:ind w:start="360"/>
        <w:ind w:firstLine="360"/>
      </w:pPr>
      <w:r>
        <w:rPr>
          <w:b/>
        </w:rPr>
        <w:t>3</w:t>
        <w:t xml:space="preserve">.  </w:t>
      </w:r>
      <w:r>
        <w:rPr>
          <w:b/>
        </w:rPr>
        <w:t xml:space="preserve">Parcel description.</w:t>
        <w:t xml:space="preserve"> </w:t>
      </w:r>
      <w:r>
        <w:t xml:space="preserve"> </w:t>
      </w:r>
      <w:r>
        <w:t xml:space="preserve">A parcel description and size, by tax map or deed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4</w:t>
        <w:t xml:space="preserve">.  </w:t>
      </w:r>
      <w:r>
        <w:rPr>
          <w:b/>
        </w:rPr>
        <w:t xml:space="preserve">Information on abutters.</w:t>
        <w:t xml:space="preserve"> </w:t>
      </w:r>
      <w:r>
        <w:t xml:space="preserve"> </w:t>
      </w:r>
      <w:r>
        <w:t xml:space="preserve">The names and addresses of abutting property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§23 (AMD).]</w:t>
      </w:r>
    </w:p>
    <w:p>
      <w:pPr>
        <w:jc w:val="both"/>
        <w:spacing w:before="100" w:after="0"/>
        <w:ind w:start="360"/>
        <w:ind w:firstLine="360"/>
      </w:pPr>
      <w:r>
        <w:rPr>
          <w:b/>
        </w:rPr>
        <w:t>5</w:t>
        <w:t xml:space="preserve">.  </w:t>
      </w:r>
      <w:r>
        <w:rPr>
          <w:b/>
        </w:rPr>
        <w:t xml:space="preserve">Signed statement.</w:t>
        <w:t xml:space="preserve"> </w:t>
      </w:r>
      <w:r>
        <w:t xml:space="preserve"> </w:t>
      </w:r>
      <w:r>
        <w:t xml:space="preserve">A statement, signed and dated by the owner or operator, certifying that the excavation will be operated in compliance with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§23 (AMD).]</w:t>
      </w:r>
    </w:p>
    <w:p>
      <w:pPr>
        <w:jc w:val="both"/>
        <w:spacing w:before="100" w:after="0"/>
        <w:ind w:start="360"/>
        <w:ind w:firstLine="360"/>
      </w:pPr>
      <w:r>
        <w:rPr>
          <w:b/>
        </w:rPr>
        <w:t>6</w:t>
        <w:t xml:space="preserve">.  </w:t>
      </w:r>
      <w:r>
        <w:rPr>
          <w:b/>
        </w:rPr>
        <w:t xml:space="preserve">Fees.</w:t>
        <w:t xml:space="preserve"> </w:t>
      </w:r>
      <w:r>
        <w:t xml:space="preserve"> </w:t>
      </w:r>
      <w:r>
        <w:t xml:space="preserve">Any fee required by </w:t>
      </w:r>
      <w:r>
        <w:t>section 490‑J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100"/>
        <w:ind w:start="360"/>
        <w:ind w:firstLine="360"/>
      </w:pPr>
      <w:r>
        <w:rPr/>
      </w:r>
      <w:r>
        <w:rPr/>
      </w:r>
      <w:r>
        <w:t xml:space="preserve">If the department determines that a notice filed under this section is not complete, the department must notify the owner or operator no later than 45 days after receiving the notice.</w:t>
      </w:r>
      <w:r>
        <w:t xml:space="preserve">  </w:t>
      </w:r>
      <w:r xmlns:wp="http://schemas.openxmlformats.org/drawingml/2010/wordprocessingDrawing" xmlns:w15="http://schemas.microsoft.com/office/word/2012/wordml">
        <w:rPr>
          <w:rFonts w:ascii="Arial" w:hAnsi="Arial" w:cs="Arial"/>
          <w:sz w:val="22"/>
          <w:szCs w:val="22"/>
        </w:rPr>
        <w:t xml:space="preserve">[PL 1995, c. 700,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287, §7 (AMD). PL 1995, c. 700, §23 (AMD). PL 2005, c. 158, §3 (AMD). PL 2007, c. 297,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§490-C. Notice of intent to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§490-C. Notice of intent to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§490-C. NOTICE OF INTENT TO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