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490-N</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for borrow, clay, topsoil or silt is proposed by the owner or operator or a transferee.  A person proposing further excavation on the parcel must file a notice of intent to comply pursuant to </w:t>
      </w:r>
      <w:r>
        <w:t>section 490‑C</w:t>
      </w:r>
      <w:r>
        <w:t xml:space="preserve"> and comply with all requirements of this article.  Payment of the annual fee under </w:t>
      </w:r>
      <w:r>
        <w:t>section 490‑J</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§490-N.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§490-N.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§490-N.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