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§490-Z. PERFORMANCE STANDARDS FOR QUARRIES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