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496-C</w:t>
        <w:t xml:space="preserve">.  </w:t>
      </w:r>
      <w:r>
        <w:rPr>
          <w:b/>
        </w:rPr>
        <w:t xml:space="preserve">Limitations -- Article VI-C</w:t>
      </w:r>
    </w:p>
    <w:p>
      <w:pPr>
        <w:jc w:val="both"/>
        <w:spacing w:before="100" w:after="100"/>
        <w:ind w:start="360"/>
        <w:ind w:firstLine="360"/>
      </w:pPr>
      <w:r>
        <w:rPr/>
      </w:r>
      <w:r>
        <w:rPr/>
      </w:r>
      <w:r>
        <w:t xml:space="preserve">Unless otherwise conferred by law, the commission shall not have power to issue permits or licenses in connection with the discharge or treatment of wastes, or pass upon plans or specifications for particular waste treatment or collection equipment or facilities.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§496-C. Limitations -- Article VI-C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§496-C. Limitations -- Article VI-C</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§496-C. LIMITATIONS -- ARTICLE VI-C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