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Appropriations</w:t>
      </w:r>
    </w:p>
    <w:p>
      <w:pPr>
        <w:jc w:val="both"/>
        <w:spacing w:before="100" w:after="100"/>
        <w:ind w:start="360"/>
        <w:ind w:firstLine="360"/>
      </w:pPr>
      <w:r>
        <w:rPr/>
      </w:r>
      <w:r>
        <w:rPr/>
      </w:r>
      <w:r>
        <w:t xml:space="preserve">The State agrees to appropriate from the General Fund and contribute to the commission such annual amount as may be required for its several purposes under the terms of the compact, not in excess of $1,000, which limitation is imposed by the State as a condition under which it becomes a party thereto. The State, as a further condition under which it becomes a party to the compact, reserves the right to withdraw therefrom at any time upon 60 days' notice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w:pPr>
        <w:jc w:val="both"/>
        <w:spacing w:before="100" w:after="100"/>
        <w:ind w:start="360"/>
        <w:ind w:firstLine="360"/>
      </w:pPr>
      <w:r>
        <w:rPr/>
      </w:r>
      <w:r>
        <w:rPr/>
      </w:r>
      <w:r>
        <w:t xml:space="preserve">The Governor shall determine if and when it is for the best interests of the State to withdraw from the compact. In the event the Governor determines that the State should withdraw from the compact, the Governor has full power and authority to give the notice as required herein and to take any and all steps necessary and proper to effect the withdrawal of the State from the compact.</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§535.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§535.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