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570-J</w:t>
        <w:t xml:space="preserve">.  </w:t>
      </w:r>
      <w:r>
        <w:rPr>
          <w:b/>
        </w:rPr>
        <w:t xml:space="preserve">Personnel and equipment</w:t>
      </w:r>
    </w:p>
    <w:p>
      <w:pPr>
        <w:jc w:val="both"/>
        <w:spacing w:before="100" w:after="100"/>
        <w:ind w:start="360"/>
        <w:ind w:firstLine="360"/>
      </w:pPr>
      <w:r>
        <w:rPr/>
      </w:r>
      <w:r>
        <w:rPr/>
      </w:r>
      <w:r>
        <w:t xml:space="preserve">The commissioner shall establish and maintain at appropriate locations employees and equipment that, in the commissioner's judgment, are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fund established by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PL 1997, c. 374, §13 (AMD). PL 2003, c. 245, §18 (AMD). PL 2009, c. 319, §21 (AMD). PL 2015, c. 319,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§570-J.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§570-J.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§570-J.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