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§578. PROGRESS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