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585-M</w:t>
        <w:t xml:space="preserve">.  </w:t>
      </w:r>
      <w:r>
        <w:rPr>
          <w:b/>
        </w:rPr>
        <w:t xml:space="preserve">Prohibition on sale of gasoline containing corn-based ethanol</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may not sell or offer for sale gasoline that contains corn-based ethanol as an additive at a level greater than 10%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does not take effect until at least 2 of the 6 New England states in addition to this State have enacted laws that prohibit the sale of gasoline that contains corn-based ethanol as an additive at a level greater than 10% by volume.  The commissioner shall notify the Secretary of State, the Secretary of the Senate, the Clerk of the House of Representatives and the Revisor of Statutes when at least 2 New England states in addition to this State have enacted laws that prohibit the sale of gasoline that contains corn-based ethanol at a level greater than 10% by volume.  In no event may this section take effect until 90 days after adjournment of the First Regular Session of the 126th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§585-M. Prohibition on sale of gasoline containing corn-based ethanol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§585-M. Prohibition on sale of gasoline containing corn-based ethanol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§585-M. PROHIBITION ON SALE OF GASOLINE CONTAINING CORN-BASED ETHANOL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