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Short title</w:t>
      </w:r>
    </w:p>
    <w:p>
      <w:pPr>
        <w:jc w:val="both"/>
        <w:spacing w:before="100" w:after="100"/>
        <w:ind w:start="360"/>
        <w:ind w:firstLine="360"/>
      </w:pPr>
      <w:r>
        <w:rPr/>
      </w:r>
      <w:r>
        <w:rPr/>
      </w:r>
      <w:r>
        <w:t xml:space="preserve">This subarticle may be cited and referred to in proceedings and agreements as the "Maine Waterway Development and Conservation Act."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§630.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