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Compensation of commissioners; costs</w:t>
      </w:r>
    </w:p>
    <w:p>
      <w:pPr>
        <w:jc w:val="both"/>
        <w:spacing w:before="100" w:after="100"/>
        <w:ind w:start="360"/>
        <w:ind w:firstLine="360"/>
      </w:pPr>
      <w:r>
        <w:rPr/>
      </w:r>
      <w:r>
        <w:rPr/>
      </w:r>
      <w:r>
        <w:t xml:space="preserve">The court shall award a suitable compensation to be paid to the commissioners, and taxed and recovered by the prevailing party. The prevailing party recovers costs, except where it is otherwise expressly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§728. Compensation of commissioners;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Compensation of commissioners;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§728. COMPENSATION OF COMMISSIONERS;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