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Reimbursement</w:t>
      </w:r>
    </w:p>
    <w:p>
      <w:pPr>
        <w:jc w:val="both"/>
        <w:spacing w:before="100" w:after="100"/>
        <w:ind w:start="360"/>
        <w:ind w:firstLine="360"/>
      </w:pPr>
      <w:r>
        <w:rPr/>
      </w:r>
      <w:r>
        <w:rPr/>
      </w:r>
      <w:r>
        <w:t xml:space="preserve">If they are not reimbursed by the profits of the mill or paid by the other owners within 6 months after the work is completed, they may charge 1% a month on the amount advanced, from the end of 6 months until so reimbursed. If a delinquent owner dies or alienates the delinquent owner's interest in the premises, the advancing owners have a continuing lien thereon for reimbursement. Any special contract made by the owners respecting the building or repair of such mill or dam is not hereby affected.</w:t>
      </w:r>
      <w:r>
        <w:t xml:space="preserve">  </w:t>
      </w:r>
      <w:r xmlns:wp="http://schemas.openxmlformats.org/drawingml/2010/wordprocessingDrawing" xmlns:w15="http://schemas.microsoft.com/office/word/2012/wordml">
        <w:rPr>
          <w:rFonts w:ascii="Arial" w:hAnsi="Arial" w:cs="Arial"/>
          <w:sz w:val="22"/>
          <w:szCs w:val="22"/>
        </w:rPr>
        <w:t xml:space="preserve">[RR 2021, c. 2,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§853.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§853.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