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w:t>
        <w:t xml:space="preserve">.  </w:t>
      </w:r>
      <w:r>
        <w:rPr>
          <w:b/>
        </w:rPr>
        <w:t xml:space="preserve">Duration and renewal of licenses</w:t>
      </w:r>
    </w:p>
    <w:p>
      <w:pPr>
        <w:jc w:val="both"/>
        <w:spacing w:before="100" w:after="100"/>
        <w:ind w:start="360"/>
        <w:ind w:firstLine="360"/>
      </w:pPr>
      <w:r>
        <w:rPr/>
      </w:r>
      <w:r>
        <w:rPr/>
      </w:r>
      <w:r>
        <w:t xml:space="preserve">Licenses issued by the pilotage commission must be renewed every 5 years to coincide, if possible, with the renewal of the individual's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1983, c. 758, §17 (AMD). PL 1991, c. 509, §47 (AMD). PL 1999, c. 355,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 Duration and renewal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 Duration and renewal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§92. DURATION AND RENEWAL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