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Officers and meetings</w:t>
      </w:r>
    </w:p>
    <w:p>
      <w:pPr>
        <w:jc w:val="both"/>
        <w:spacing w:before="100" w:after="100"/>
        <w:ind w:start="360"/>
        <w:ind w:firstLine="360"/>
      </w:pPr>
      <w:r>
        <w:rPr/>
      </w:r>
      <w:r>
        <w:rPr/>
      </w:r>
      <w:r>
        <w:t xml:space="preserve">The commission shall elect annually, from its own membership, a chair and secretary and such other officers as it deems necessary.  Meetings must be held at the call of the chair or at the call of more than 1/2 of the membership.  The meetings must be held no less frequently than 8 times a year.  The minutes of all proceedings of the commission are a public record available and on file in the office of the commission.  Members of the commission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§49 (COR).]</w:t>
      </w:r>
    </w:p>
    <w:p>
      <w:pPr>
        <w:jc w:val="both"/>
        <w:spacing w:before="100" w:after="100"/>
        <w:ind w:start="360"/>
        <w:ind w:firstLine="360"/>
      </w:pPr>
      <w:r>
        <w:rPr/>
      </w:r>
      <w:r>
        <w:rPr/>
      </w:r>
      <w:r>
        <w:t xml:space="preserve">Alternate members shall be allowed to participate in all proceedings of the commission, but shall vote only in the absence of the regular member from the municipality which they represent. Public hearings conducted under the authority of this chapter may be held by a single member, alternate or hearing officer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§295 (AMD). RR 2013, c. 2,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§954-A. Officers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Officers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§954-A. OFFICERS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