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Enforcement, inspection and penalties for violations</w:t>
      </w:r>
    </w:p>
    <w:p>
      <w:pPr>
        <w:jc w:val="both"/>
        <w:spacing w:before="100" w:after="0"/>
        <w:ind w:start="360"/>
        <w:ind w:firstLine="360"/>
      </w:pPr>
      <w:r>
        <w:rPr>
          <w:b/>
        </w:rPr>
        <w:t>1</w:t>
        <w:t xml:space="preserve">.  </w:t>
      </w:r>
      <w:r>
        <w:rPr>
          <w:b/>
        </w:rPr>
        <w:t xml:space="preserve">Effect of standards, rules and orders.</w:t>
        <w:t xml:space="preserve"> </w:t>
      </w:r>
      <w:r>
        <w:t xml:space="preserve"> </w:t>
      </w:r>
      <w:r>
        <w:t xml:space="preserve">Standards, rules and orders issued by the commission pursuant to this chapter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2</w:t>
        <w:t xml:space="preserve">.  </w:t>
      </w:r>
      <w:r>
        <w:rPr>
          <w:b/>
        </w:rPr>
        <w:t xml:space="preserve">Conformance required.</w:t>
        <w:t xml:space="preserve"> </w:t>
      </w:r>
      <w:r>
        <w:t xml:space="preserve"> </w:t>
      </w:r>
      <w:r>
        <w:t xml:space="preserve">A person may not undertake development except in conformance with this chapter and the standards, rules and orders issued by the commission pursuant to this chapter.  Real estate or personal property may not exist or be used in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3</w:t>
        <w:t xml:space="preserve">.  </w:t>
      </w:r>
      <w:r>
        <w:rPr>
          <w:b/>
        </w:rPr>
        <w:t xml:space="preserve">Ensuring compliance; access.</w:t>
        <w:t xml:space="preserve"> </w:t>
      </w:r>
      <w:r>
        <w:t xml:space="preserve"> </w:t>
      </w:r>
      <w:r>
        <w:t xml:space="preserve">For the purposes of inspection and to ensure compliance with this chapter and standards, rules and orders issued by the commission pursuant to this chapter, commission members, staff, consultant personnel and designated municipal officials may conduct such investigations, examinations, tests and site evaluations determined necessary to verify information presented to the commission and may obtain access to any lands and structures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4</w:t>
        <w:t xml:space="preserve">.  </w:t>
      </w:r>
      <w:r>
        <w:rPr>
          <w:b/>
        </w:rPr>
        <w:t xml:space="preserve">Violations.</w:t>
        <w:t xml:space="preserve"> </w:t>
      </w:r>
      <w:r>
        <w:t xml:space="preserve"> </w:t>
      </w:r>
      <w:r>
        <w:t xml:space="preserve">A person who violates a provision of this chapter or of standards, rules and orders issued by the commission pursuant to this chapter commits a civil violation for which a fine of not more than $100 for each day of the violation may be adjudged.  In addition, the person's permit, certificate of compliance or variance issued by the commission is subject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5</w:t>
        <w:t xml:space="preserve">.  </w:t>
      </w:r>
      <w:r>
        <w:rPr>
          <w:b/>
        </w:rPr>
        <w:t xml:space="preserve">Falsification.</w:t>
        <w:t xml:space="preserve"> </w:t>
      </w:r>
      <w:r>
        <w:t xml:space="preserve"> </w:t>
      </w:r>
      <w:r>
        <w:t xml:space="preserve">A person who intentionally or knowingly falsifies a statement to the commission commits a civil violation for which a fine of not more than $1,000 may be adjudged.  In addition, the person's permit, certificate of compliance or variance granted by the commission in reliance on such statement must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6</w:t>
        <w:t xml:space="preserve">.  </w:t>
      </w:r>
      <w:r>
        <w:rPr>
          <w:b/>
        </w:rPr>
        <w:t xml:space="preserve">Additional remedies.</w:t>
        <w:t xml:space="preserve"> </w:t>
      </w:r>
      <w:r>
        <w:t xml:space="preserve"> </w:t>
      </w:r>
      <w:r>
        <w:t xml:space="preserve">In addition to enforcing any other penalties provided, either the commission or the Attorney General may institute any appropriate action, injunction or other proceeding to prevent, restrain, correct or abate a violation of this chapter or the standards, rules and orders issued by the commission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w:pPr>
        <w:jc w:val="both"/>
        <w:spacing w:before="100" w:after="0"/>
        <w:ind w:start="360"/>
        <w:ind w:firstLine="360"/>
      </w:pPr>
      <w:r>
        <w:rPr>
          <w:b/>
        </w:rPr>
        <w:t>7</w:t>
        <w:t xml:space="preserve">.  </w:t>
      </w:r>
      <w:r>
        <w:rPr>
          <w:b/>
        </w:rPr>
        <w:t xml:space="preserve">Commission's status.</w:t>
        <w:t xml:space="preserve"> </w:t>
      </w:r>
      <w:r>
        <w:t xml:space="preserve"> </w:t>
      </w:r>
      <w:r>
        <w:t xml:space="preserve">Subject to written approval of the Attorney General as provided in </w:t>
      </w:r>
      <w:r>
        <w:t>Title 5, section 191</w:t>
      </w:r>
      <w:r>
        <w:t xml:space="preserve"> and within the limits of the commission's budget, the commission may retain private counsel for the conduct of commission meetings and hearings and advice on other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2003, c. 452, §W8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§967. Enforcement, inspection and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Enforcement, inspection and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§967. ENFORCEMENT, INSPECTION AND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