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St. Croix International Waterway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Memorandum of Understanding.</w:t>
        <w:t xml:space="preserve"> </w:t>
      </w:r>
      <w:r>
        <w:t xml:space="preserve"> </w:t>
      </w:r>
      <w:r>
        <w:t xml:space="preserve">"Memorandum of Understanding" means the Memorandum of Understanding Between the State of Maine of the United States and the Province of New Brunswick of Canada Regarding the St. Croix International Waterway, signed by the Governor of the State and the Premier of the Province of New Brunswick in November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Waterway.</w:t>
        <w:t xml:space="preserve"> </w:t>
      </w:r>
      <w:r>
        <w:t xml:space="preserve"> </w:t>
      </w:r>
      <w:r>
        <w:t xml:space="preserve">"Waterway" means the St. Croix River, including the Chiputneticook Lakes.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