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Liability for sexual harassment, sexual assault or certain intentional torts</w:t>
      </w:r>
    </w:p>
    <w:p>
      <w:pPr>
        <w:jc w:val="both"/>
        <w:spacing w:before="100" w:after="0"/>
        <w:ind w:start="360"/>
        <w:ind w:firstLine="360"/>
      </w:pPr>
      <w:r>
        <w:rPr>
          <w:b/>
        </w:rPr>
        <w:t>1</w:t>
        <w:t xml:space="preserve">.  </w:t>
      </w:r>
      <w:r>
        <w:rPr>
          <w:b/>
        </w:rPr>
        <w:t xml:space="preserve">Liability for sexual harassment, sexual assault or certain intentional torts.</w:t>
        <w:t xml:space="preserve"> </w:t>
      </w:r>
      <w:r>
        <w:t xml:space="preserve"> </w:t>
      </w:r>
      <w:r>
        <w:t xml:space="preserve">An employee, supervisor, officer or director of an employer is liable for sexual harassment, sexual assault or an intentional tort related to sexual harassment or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2</w:t>
        <w:t xml:space="preserve">.  </w:t>
      </w:r>
      <w:r>
        <w:rPr>
          <w:b/>
        </w:rPr>
        <w:t xml:space="preserve">Employer not liable.</w:t>
        <w:t xml:space="preserve"> </w:t>
      </w:r>
      <w:r>
        <w:t xml:space="preserve"> </w:t>
      </w:r>
      <w:r>
        <w:t xml:space="preserve">This section may not be construed to impose liability on an employer for sexual harassment, sexual assault or an intentional tort related to sexual harassment or sexual assault committed by an employee, supervisor, officer or director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w:pPr>
        <w:jc w:val="both"/>
        <w:spacing w:before="100" w:after="0"/>
        <w:ind w:start="360"/>
        <w:ind w:firstLine="360"/>
      </w:pPr>
      <w:r>
        <w:rPr>
          <w:b/>
        </w:rPr>
        <w:t>3</w:t>
        <w:t xml:space="preserve">.  </w:t>
      </w:r>
      <w:r>
        <w:rPr>
          <w:b/>
        </w:rPr>
        <w:t xml:space="preserve">Actions alleging employment discrimination not prohibited or limited.</w:t>
        <w:t xml:space="preserve"> </w:t>
      </w:r>
      <w:r>
        <w:t xml:space="preserve"> </w:t>
      </w:r>
      <w:r>
        <w:t xml:space="preserve">This section does not prohibit or limit an action alleging employment discrimination pursuant to the Maine Human Rights Act or Title VII of the federal Civil Rights Act of 1964, Public Law 88-352.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§104-A. Liability for sexual harassment, sexual assault or certain intentional torts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Liability for sexual harassment, sexual assault or certain intentional torts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§104-A. LIABILITY FOR SEXUAL HARASSMENT, SEXUAL ASSAULT OR CERTAIN INTENTIONAL TORTS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