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Petition for reopening</w:t>
      </w:r>
    </w:p>
    <w:p>
      <w:pPr>
        <w:jc w:val="both"/>
        <w:spacing w:before="100" w:after="100"/>
        <w:ind w:start="360"/>
        <w:ind w:firstLine="360"/>
      </w:pPr>
      <w:r>
        <w:rPr/>
      </w:r>
      <w:r>
        <w:rPr/>
      </w:r>
      <w:r>
        <w:t xml:space="preserve">Upon the petition of either party, the board may reopen and review any compensation payment scheme, award or decree on the grounds of newly discovered evidence that by due diligence could not have been discovered prior to the time the payment scheme was initiated or prior to the hearing on which the award or decree was based. The petition must be filed within 30 days of the payment scheme, award or decree.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Petition for reopening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§319. PETITION FOR REOPENING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