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Death of petitioner</w:t>
      </w:r>
    </w:p>
    <w:p>
      <w:pPr>
        <w:jc w:val="both"/>
        <w:spacing w:before="100" w:after="100"/>
        <w:ind w:start="360"/>
        <w:ind w:firstLine="360"/>
      </w:pPr>
      <w:r>
        <w:rPr/>
      </w:r>
      <w:r>
        <w:rPr/>
      </w:r>
      <w:r>
        <w:t xml:space="preserve">No proceedings under this Act abate because of the death of the petitioner, but may be prosecuted by the employee's legal representatives or by any person entitled to compensation by reason of the death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 Death of petitioner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Death of petitioner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§326. DEATH OF PETITIONER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