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Employee's knowledge of defect or negligence</w:t>
      </w:r>
    </w:p>
    <w:p>
      <w:pPr>
        <w:jc w:val="both"/>
        <w:spacing w:before="100" w:after="100"/>
        <w:ind w:start="360"/>
        <w:ind w:firstLine="360"/>
      </w:pPr>
      <w:r>
        <w:rPr/>
      </w:r>
      <w:r>
        <w:rPr/>
      </w:r>
      <w:r>
        <w:t xml:space="preserve">An employee or the employee's legal representatives are not entitled under </w:t>
      </w:r>
      <w:r>
        <w:t>sections 901</w:t>
      </w:r>
      <w:r>
        <w:t xml:space="preserve"> to </w:t>
      </w:r>
      <w:r>
        <w:t>904</w:t>
      </w:r>
      <w:r>
        <w:t xml:space="preserve"> to any right of action for damages against the employer if the employee knew of the defect or negligence that caused the injury and failed within a reasonable time to give, or cause to be given, information about the defect to the employer or to some person superior to the employee in the service of the employer who was entrusted with general superintendence.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§907. Employee's knowledge of defect or negligence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Employee's knowledge of defect or negligence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§907. EMPLOYEE'S KNOWLEDGE OF DEFECT OR NEGLIGENCE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