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1235</w:t>
        <w:t xml:space="preserve">.  </w:t>
      </w:r>
      <w:r>
        <w:rPr>
          <w:b/>
        </w:rPr>
        <w:t xml:space="preserve">Administrative procedures</w:t>
      </w:r>
    </w:p>
    <w:p>
      <w:pPr>
        <w:jc w:val="both"/>
        <w:spacing w:before="100" w:after="100"/>
        <w:ind w:start="360"/>
        <w:ind w:firstLine="360"/>
      </w:pPr>
      <w:r>
        <w:rPr/>
      </w:r>
      <w:r>
        <w:rPr/>
      </w:r>
      <w:r>
        <w:t xml:space="preserve">Appeal from the executive director's decision is the same as provided for other programs of the Maine Public Employees Retirement System in </w:t>
      </w:r>
      <w:r>
        <w:t>Title 5, 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1989, c. 133, §22 (AMD). PL 2007, c. 58, §3 (REV). PL 2007, c. 491,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§1235. Administrative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§1235. Administrative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§1235. ADMINISTRATIVE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