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Expenses</w:t>
      </w:r>
    </w:p>
    <w:p>
      <w:pPr>
        <w:jc w:val="both"/>
        <w:spacing w:before="100" w:after="100"/>
        <w:ind w:start="360"/>
        <w:ind w:firstLine="360"/>
      </w:pPr>
      <w:r>
        <w:rPr/>
      </w:r>
      <w:r>
        <w:rPr/>
      </w:r>
      <w:r>
        <w:t xml:space="preserve">All administrative operating expenses of the Judicial Retirement Program must be charged to the assets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§42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240, Pt. U, §3 (RPR). PL 2007, c. 491,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