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§1355-A. MINIMUM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