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Court Appointed Special Advocate Advisory Panel</w:t>
      </w:r>
    </w:p>
    <w:p>
      <w:pPr>
        <w:jc w:val="both"/>
        <w:spacing w:before="100" w:after="100"/>
        <w:ind w:start="360"/>
        <w:ind w:firstLine="360"/>
      </w:pPr>
      <w:r>
        <w:rPr/>
      </w:r>
      <w:r>
        <w:rPr/>
      </w:r>
      <w:r>
        <w:t xml:space="preserve">A Court Appointed Special Advocate Advisory Panel is appointed by the Chief Justice of the Supreme Judicial Court to set the policy for and monitor the Court Appointed Special Advocate Program.</w:t>
      </w:r>
      <w:r>
        <w:t xml:space="preserve">  </w:t>
      </w:r>
      <w:r xmlns:wp="http://schemas.openxmlformats.org/drawingml/2010/wordprocessingDrawing" xmlns:w15="http://schemas.microsoft.com/office/word/2012/wordml">
        <w:rPr>
          <w:rFonts w:ascii="Arial" w:hAnsi="Arial" w:cs="Arial"/>
          <w:sz w:val="22"/>
          <w:szCs w:val="22"/>
        </w:rPr>
        <w:t xml:space="preserve">[PL 1991, c.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581, §1 (NEW). PL 1991, c. 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§1505. Court Appointed Special Advocate Advisory Panel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Court Appointed Special Advocate Advisory Panel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§1505. COURT APPOINTED SPECIAL ADVOCATE ADVISORY PANEL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