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Leasing or renting property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Leasing or renting property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§1605. LEASING OR RENTING PROPERTY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