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w:t>
        <w:t xml:space="preserve">.  </w:t>
      </w:r>
      <w:r>
        <w:rPr>
          <w:b/>
        </w:rPr>
        <w:t xml:space="preserve">Administration of oaths</w:t>
      </w:r>
    </w:p>
    <w:p>
      <w:pPr>
        <w:jc w:val="both"/>
        <w:spacing w:before="100" w:after="100"/>
        <w:ind w:start="360"/>
        <w:ind w:firstLine="360"/>
      </w:pPr>
      <w:r>
        <w:rPr/>
      </w:r>
      <w:r>
        <w:rPr/>
      </w:r>
      <w:r>
        <w:t xml:space="preserve">Judges of the District Court and notaries public may administer all oaths required by law, unless another officer is specially required to do it.</w:t>
      </w:r>
      <w:r>
        <w:t xml:space="preserve">  </w:t>
      </w:r>
      <w:r xmlns:wp="http://schemas.openxmlformats.org/drawingml/2010/wordprocessingDrawing" xmlns:w15="http://schemas.microsoft.com/office/word/2012/wordml">
        <w:rPr>
          <w:rFonts w:ascii="Arial" w:hAnsi="Arial" w:cs="Arial"/>
          <w:sz w:val="22"/>
          <w:szCs w:val="22"/>
        </w:rPr>
        <w:t xml:space="preserve">[PL 1981, c. 456,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§169. Administration of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 Administration of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§169. ADMINISTRATION OF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