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17-D</w:t>
        <w:t xml:space="preserve">.  </w:t>
      </w:r>
      <w:r>
        <w:rPr>
          <w:b/>
        </w:rPr>
        <w:t xml:space="preserve">Fees for training, security and other expenses</w:t>
      </w:r>
    </w:p>
    <w:p>
      <w:pPr>
        <w:jc w:val="both"/>
        <w:spacing w:before="100" w:after="100"/>
        <w:ind w:start="360"/>
        <w:ind w:firstLine="360"/>
      </w:pPr>
      <w:r>
        <w:rPr/>
      </w:r>
      <w:r>
        <w:rPr/>
      </w:r>
      <w:r>
        <w:t xml:space="preserve">The State Court Administrator may establish fees on lawyers, guardians ad litem, interpreters, mediators and other professionals who routinely participate in court proceedings to cover the costs of training, orientation, continuing education, background investigations, entry screening and security provided to these professionals.  The State Court Administrator also may establish fees on 3rd parties to cover the costs of the use of court facilities for purposes not related to court functions by those 3rd parties.  All fees collected under this section must be deposited in a nonlapsing Other Special Revenue Funds account to be used for these purposes only.  This account may receive money from grants, gifts, bequests and donations.</w:t>
      </w:r>
      <w:r>
        <w:t xml:space="preserve">  </w:t>
      </w:r>
      <w:r xmlns:wp="http://schemas.openxmlformats.org/drawingml/2010/wordprocessingDrawing" xmlns:w15="http://schemas.microsoft.com/office/word/2012/wordml">
        <w:rPr>
          <w:rFonts w:ascii="Arial" w:hAnsi="Arial" w:cs="Arial"/>
          <w:sz w:val="22"/>
          <w:szCs w:val="22"/>
        </w:rPr>
        <w:t xml:space="preserve">[PL 2015, c. 238,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§17-D. Fees for training, security and other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§17-D. Fees for training, security and other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§17-D. FEES FOR TRAINING, SECURITY AND OTHER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