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173-A</w:t>
        <w:t xml:space="preserve">.  </w:t>
      </w:r>
      <w:r>
        <w:rPr>
          <w:b/>
        </w:rPr>
        <w:t xml:space="preserve">Costs taxable for the State in civil violation or traffic infraction proceedings</w:t>
      </w:r>
    </w:p>
    <w:p>
      <w:pPr>
        <w:jc w:val="both"/>
        <w:spacing w:before="100" w:after="100"/>
        <w:ind w:start="360"/>
        <w:ind w:firstLine="360"/>
      </w:pPr>
      <w:r>
        <w:rPr/>
      </w:r>
      <w:r>
        <w:rPr/>
      </w:r>
      <w:r>
        <w:t xml:space="preserve">Costs in the amount of $25 shall be automatically taxable for the State in civil violation and traffic infraction proceedings for failure to pay a fine imposed for the commission of a civil violation or traffic infraction within 30 days of entry of judgment or within 30 days of the date fixed for a final installment payment if the fine is to be paid under a plan approved under </w:t>
      </w:r>
      <w:r>
        <w:t>Title 14, section 3141,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§§12-A (NEW). PL 1985, c. 481, §A5 (AMD). PL 1987, c. 414, §1 (RPR). PL 1987, c. 708,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§173-A. Costs taxable for the State in civil violation or traffic infraction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§173-A. Costs taxable for the State in civil violation or traffic infraction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§173-A. COSTS TAXABLE FOR THE STATE IN CIVIL VIOLATION OR TRAFFIC INFRACTION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