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qualifications for contract counsel, assigned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C</w:t>
        <w:t xml:space="preserve">.  </w:t>
      </w:r>
      <w:r>
        <w:rPr/>
      </w:r>
      <w:r>
        <w:t xml:space="preserve">Standards for assigned counsel, contract counsel and public defender case loads;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D</w:t>
        <w:t xml:space="preserve">.  </w:t>
      </w:r>
      <w:r>
        <w:rPr/>
      </w:r>
      <w:r>
        <w:t xml:space="preserve">Standards for the evaluation of assigned counsel, contract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E</w:t>
        <w:t xml:space="preserve">.  </w:t>
      </w:r>
      <w:r>
        <w:rPr/>
      </w:r>
      <w:r>
        <w:t xml:space="preserve">Standards for independent, high-quality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F</w:t>
        <w:t xml:space="preserve">.  </w:t>
      </w:r>
      <w:r>
        <w:rPr/>
      </w:r>
      <w:r>
        <w:t xml:space="preserve">Standards for the reimbursement of expenses incurred by assigned counsel, contract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G</w:t>
        <w:t xml:space="preserve">.  </w:t>
      </w:r>
      <w:r>
        <w:rPr/>
      </w:r>
      <w:r>
        <w:t xml:space="preserve">Other standards considered necessary and appropriate to ensure the delivery of adequate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§1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public defenders, uses appointed private attorneys and contracts with individual attorneys or groups of attorneys. The commission shall consider other programs necessary to provide quality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344, §2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 load management systems so that detailed expenditure and case 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2011, c. 420, Pt. C, §1 (AMD).]</w:t>
      </w:r>
    </w:p>
    <w:p>
      <w:pPr>
        <w:jc w:val="both"/>
        <w:spacing w:before="100" w:after="0"/>
        <w:ind w:start="720"/>
      </w:pPr>
      <w:r>
        <w:rPr/>
        <w:t>D</w:t>
        <w:t xml:space="preserve">.  </w:t>
      </w:r>
      <w:r>
        <w:rPr/>
      </w:r>
      <w:r>
        <w:t xml:space="preserve">Develop criminal defense, child protective and involuntary commitment representation training and evaluation programs for attorneys throughout the State to ensure an adequate pool of qualified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E</w:t>
        <w:t xml:space="preserve">.  </w:t>
      </w:r>
      <w:r>
        <w:rPr/>
      </w:r>
      <w:r>
        <w:t xml:space="preserve">Establish minimum qualifications to ensure that attorneys are qualified and capable of providing quality representation in the case types to which they are assigned, recognizing that quality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 load standards for assigned counsel, contract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§4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344, §5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FFF, §1 (AMD); PL 2021, c. 481, §5 (AMD).]</w:t>
      </w:r>
    </w:p>
    <w:p>
      <w:pPr>
        <w:jc w:val="both"/>
        <w:spacing w:before="100" w:after="0"/>
        <w:ind w:start="720"/>
      </w:pPr>
      <w:r>
        <w:rPr/>
        <w:t>E</w:t>
        <w:t xml:space="preserve">.  </w:t>
      </w:r>
      <w:r>
        <w:rPr/>
      </w:r>
      <w:r>
        <w:t xml:space="preserve">Appear in court and before other administrative bodies represented by its own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 §1 (AMD); PL 2021, c. 481,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Commission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Commission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§1804. COMMISSION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